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Antonoff Lauren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09/05/2025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09/05/2025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17,764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90.903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338,465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previously reported restricted stock units ("RSUs"). The sale was to satisfy tax withholding obligations to be funded by a "sell-to-cover"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222,277 RSUs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09/08/2025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202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2025-09-08T16:41:33Z</dcterms:created>
  <dcterms:modified xsi:type="dcterms:W3CDTF">2025-09-08T16:41:33Z</dcterms:modified>
</cp:coreProperties>
</file>