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70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70826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COGHLAN JOHN PHILIP</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2"/>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360" w:type="dxa"/>
            <w:vAlign w:val="bottom"/>
            <w:tcBorders>
              <w:bottom w:val="single" w:sz="8" w:color="0000EE"/>
            </w:tcBorders>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09/02/2025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28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40" w:type="dxa"/>
            <w:vAlign w:val="bottom"/>
          </w:tcPr>
          <w:p>
            <w:pPr>
              <w:spacing w:after="0"/>
              <w:rPr>
                <w:sz w:val="3"/>
                <w:szCs w:val="3"/>
                <w:color w:val="auto"/>
              </w:rPr>
            </w:pPr>
          </w:p>
        </w:tc>
        <w:tc>
          <w:tcPr>
            <w:tcW w:w="17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40" w:type="dxa"/>
            <w:vAlign w:val="bottom"/>
          </w:tcPr>
          <w:p>
            <w:pPr>
              <w:spacing w:after="0"/>
              <w:rPr>
                <w:sz w:val="5"/>
                <w:szCs w:val="5"/>
                <w:color w:val="auto"/>
              </w:rPr>
            </w:pPr>
          </w:p>
        </w:tc>
        <w:tc>
          <w:tcPr>
            <w:tcW w:w="17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09/02/2025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129"/>
              <w:spacing w:after="0"/>
              <w:rPr>
                <w:sz w:val="20"/>
                <w:szCs w:val="20"/>
                <w:color w:val="auto"/>
              </w:rPr>
            </w:pPr>
            <w:r>
              <w:rPr>
                <w:rFonts w:ascii="Times New Roman" w:cs="Times New Roman" w:eastAsia="Times New Roman" w:hAnsi="Times New Roman"/>
                <w:sz w:val="17"/>
                <w:szCs w:val="17"/>
                <w:color w:val="0000FF"/>
              </w:rPr>
              <w:t>508</w:t>
            </w:r>
          </w:p>
        </w:tc>
        <w:tc>
          <w:tcPr>
            <w:tcW w:w="54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87.03</w:t>
            </w:r>
            <w:r>
              <w:rPr>
                <w:rFonts w:ascii="Times New Roman" w:cs="Times New Roman" w:eastAsia="Times New Roman" w:hAnsi="Times New Roman"/>
                <w:sz w:val="22"/>
                <w:szCs w:val="22"/>
                <w:color w:val="008000"/>
                <w:vertAlign w:val="superscript"/>
              </w:rPr>
              <w:t>(2)</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11,992</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 John</w:t>
            </w:r>
          </w:p>
        </w:tc>
        <w:tc>
          <w:tcPr>
            <w:tcW w:w="0" w:type="dxa"/>
            <w:vAlign w:val="bottom"/>
          </w:tcPr>
          <w:p>
            <w:pPr>
              <w:spacing w:after="0"/>
              <w:rPr>
                <w:sz w:val="1"/>
                <w:szCs w:val="1"/>
                <w:color w:val="auto"/>
              </w:rPr>
            </w:pPr>
          </w:p>
        </w:tc>
      </w:tr>
      <w:tr>
        <w:trPr>
          <w:trHeight w:val="21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jc w:val="right"/>
              <w:ind w:right="89"/>
              <w:spacing w:after="0"/>
              <w:rPr>
                <w:sz w:val="20"/>
                <w:szCs w:val="20"/>
                <w:color w:val="auto"/>
              </w:rPr>
            </w:pPr>
            <w:r>
              <w:rPr>
                <w:rFonts w:ascii="Times New Roman" w:cs="Times New Roman" w:eastAsia="Times New Roman" w:hAnsi="Times New Roman"/>
                <w:sz w:val="17"/>
                <w:szCs w:val="17"/>
                <w:color w:val="0000FF"/>
              </w:rPr>
              <w:t>09/02/2025</w:t>
            </w:r>
          </w:p>
        </w:tc>
        <w:tc>
          <w:tcPr>
            <w:tcW w:w="1120" w:type="dxa"/>
            <w:vAlign w:val="bottom"/>
          </w:tcPr>
          <w:p>
            <w:pPr>
              <w:spacing w:after="0"/>
              <w:rPr>
                <w:sz w:val="18"/>
                <w:szCs w:val="18"/>
                <w:color w:val="auto"/>
              </w:rPr>
            </w:pPr>
          </w:p>
        </w:tc>
        <w:tc>
          <w:tcPr>
            <w:tcW w:w="800" w:type="dxa"/>
            <w:vAlign w:val="bottom"/>
          </w:tcPr>
          <w:p>
            <w:pPr>
              <w:ind w:left="120"/>
              <w:spacing w:after="0" w:line="213" w:lineRule="exact"/>
              <w:rPr>
                <w:sz w:val="20"/>
                <w:szCs w:val="20"/>
                <w:color w:val="auto"/>
              </w:rPr>
            </w:pPr>
            <w:r>
              <w:rPr>
                <w:rFonts w:ascii="Times New Roman" w:cs="Times New Roman" w:eastAsia="Times New Roman" w:hAnsi="Times New Roman"/>
                <w:sz w:val="24"/>
                <w:szCs w:val="24"/>
                <w:color w:val="0000FF"/>
                <w:vertAlign w:val="subscript"/>
              </w:rPr>
              <w:t>S</w:t>
            </w:r>
            <w:r>
              <w:rPr>
                <w:rFonts w:ascii="Times New Roman" w:cs="Times New Roman" w:eastAsia="Times New Roman" w:hAnsi="Times New Roman"/>
                <w:sz w:val="11"/>
                <w:szCs w:val="11"/>
                <w:color w:val="008000"/>
              </w:rPr>
              <w:t>(1)</w:t>
            </w:r>
          </w:p>
        </w:tc>
        <w:tc>
          <w:tcPr>
            <w:tcW w:w="720" w:type="dxa"/>
            <w:vAlign w:val="bottom"/>
          </w:tcPr>
          <w:p>
            <w:pPr>
              <w:jc w:val="right"/>
              <w:ind w:right="49"/>
              <w:spacing w:after="0"/>
              <w:rPr>
                <w:sz w:val="20"/>
                <w:szCs w:val="20"/>
                <w:color w:val="auto"/>
              </w:rPr>
            </w:pPr>
            <w:r>
              <w:rPr>
                <w:rFonts w:ascii="Times New Roman" w:cs="Times New Roman" w:eastAsia="Times New Roman" w:hAnsi="Times New Roman"/>
                <w:sz w:val="17"/>
                <w:szCs w:val="17"/>
                <w:color w:val="0000FF"/>
              </w:rPr>
              <w:t>2,617</w:t>
            </w:r>
          </w:p>
        </w:tc>
        <w:tc>
          <w:tcPr>
            <w:tcW w:w="540" w:type="dxa"/>
            <w:vAlign w:val="bottom"/>
          </w:tcPr>
          <w:p>
            <w:pPr>
              <w:jc w:val="center"/>
              <w:ind w:left="27"/>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ind w:left="8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88.33</w:t>
            </w:r>
            <w:r>
              <w:rPr>
                <w:rFonts w:ascii="Times New Roman" w:cs="Times New Roman" w:eastAsia="Times New Roman" w:hAnsi="Times New Roman"/>
                <w:sz w:val="22"/>
                <w:szCs w:val="22"/>
                <w:color w:val="008000"/>
                <w:vertAlign w:val="superscript"/>
              </w:rPr>
              <w:t>(3)</w:t>
            </w: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9,375</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226"/>
        </w:trPr>
        <w:tc>
          <w:tcPr>
            <w:tcW w:w="2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440" w:type="dxa"/>
            <w:vAlign w:val="bottom"/>
            <w:tcBorders>
              <w:bottom w:val="single" w:sz="8" w:color="2C2C2C"/>
            </w:tcBorders>
          </w:tcPr>
          <w:p>
            <w:pPr>
              <w:spacing w:after="0"/>
              <w:rPr>
                <w:sz w:val="5"/>
                <w:szCs w:val="5"/>
                <w:color w:val="auto"/>
              </w:rPr>
            </w:pPr>
          </w:p>
        </w:tc>
        <w:tc>
          <w:tcPr>
            <w:tcW w:w="17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26"/>
        </w:trPr>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3,344</w:t>
            </w:r>
            <w:r>
              <w:rPr>
                <w:rFonts w:ascii="Times New Roman" w:cs="Times New Roman" w:eastAsia="Times New Roman" w:hAnsi="Times New Roman"/>
                <w:sz w:val="22"/>
                <w:szCs w:val="22"/>
                <w:color w:val="008000"/>
                <w:w w:val="93"/>
                <w:vertAlign w:val="superscript"/>
              </w:rPr>
              <w:t>(4)</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4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4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Philip</w:t>
            </w:r>
          </w:p>
        </w:tc>
        <w:tc>
          <w:tcPr>
            <w:tcW w:w="0" w:type="dxa"/>
            <w:vAlign w:val="bottom"/>
          </w:tcPr>
          <w:p>
            <w:pPr>
              <w:spacing w:after="0"/>
              <w:rPr>
                <w:sz w:val="1"/>
                <w:szCs w:val="1"/>
                <w:color w:val="auto"/>
              </w:rPr>
            </w:pPr>
          </w:p>
        </w:tc>
      </w:tr>
      <w:tr>
        <w:trPr>
          <w:trHeight w:val="233"/>
        </w:trPr>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67,604</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color w:val="0000FF"/>
                <w:w w:val="74"/>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Coghlan</w:t>
            </w:r>
          </w:p>
        </w:tc>
        <w:tc>
          <w:tcPr>
            <w:tcW w:w="0" w:type="dxa"/>
            <w:vAlign w:val="bottom"/>
          </w:tcPr>
          <w:p>
            <w:pPr>
              <w:spacing w:after="0"/>
              <w:rPr>
                <w:sz w:val="1"/>
                <w:szCs w:val="1"/>
                <w:color w:val="auto"/>
              </w:rPr>
            </w:pPr>
          </w:p>
        </w:tc>
      </w:tr>
    </w:tbl>
    <w:p>
      <w:pPr>
        <w:ind w:left="10260"/>
        <w:spacing w:after="0"/>
        <w:rPr>
          <w:sz w:val="20"/>
          <w:szCs w:val="20"/>
          <w:color w:val="auto"/>
        </w:rPr>
      </w:pPr>
      <w:r>
        <w:rPr>
          <w:rFonts w:ascii="Times New Roman" w:cs="Times New Roman" w:eastAsia="Times New Roman" w:hAnsi="Times New Roman"/>
          <w:sz w:val="17"/>
          <w:szCs w:val="17"/>
          <w:color w:val="0000FF"/>
        </w:rPr>
        <w:t>2025</w:t>
      </w:r>
    </w:p>
    <w:p>
      <w:pPr>
        <w:spacing w:after="0" w:line="11"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Grantor</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Retained</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Annuity</w:t>
      </w:r>
    </w:p>
    <w:p>
      <w:pPr>
        <w:spacing w:after="0" w:line="18"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17"/>
          <w:szCs w:val="17"/>
          <w:color w:val="0000FF"/>
        </w:rPr>
        <w:t>Trust</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on this Form 4 was effected pursuant to a Rule 10b5-1 trading plan adopted by the Reporting Person on December 6, 2024. The Rule 10b5-1 trading plan is a pre-arranged written trading plan pursuant to which shares of Company stock are sold automatically based on a predetermined formula that was established by the Reporting Person at a time when the Reporting Person was not aware of any material nonpublic information about the Company.</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$86.50 to $87.49,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$87.74 to $88.71, inclusive, per share. The Reporting Person</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3"/>
          <w:szCs w:val="13"/>
          <w:color w:val="008000"/>
        </w:rPr>
        <w:t>undertakes to provide to the Issuer, any securityholder of the Issuer or the Staff of the Securities and Exchange Commission, upon request, full details regarding the number of shares sold at each separate price within the range.</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4. Reflects 3,344 restricted stock units, each of which represents a contingent right to receive one share of the Issuer's common stock upon vesting.</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09/04/2025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2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27"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85999"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2025-09-04T16:06:50Z</dcterms:created>
  <dcterms:modified xsi:type="dcterms:W3CDTF">2025-09-04T16:06:50Z</dcterms:modified>
</cp:coreProperties>
</file>